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일치도 평가 기준</w:t>
      </w:r>
    </w:p>
    <w:p>
      <w:pPr>
        <w:jc w:val="center"/>
      </w:pPr>
      <w:r>
        <w:rPr>
          <w:b/>
          <w:i w:val="0"/>
        </w:rPr>
        <w:t>v3.0</w:t>
      </w:r>
    </w:p>
    <w:p>
      <w:pPr>
        <w:jc w:val="center"/>
      </w:pPr>
      <w:r>
        <w:rPr>
          <w:b w:val="0"/>
          <w:i w:val="0"/>
        </w:rPr>
        <w:t>기반 방법론: K-Law v17.0.3</w:t>
      </w:r>
    </w:p>
    <w:p>
      <w:pPr>
        <w:jc w:val="center"/>
      </w:pPr>
      <w:r>
        <w:rPr>
          <w:b w:val="0"/>
          <w:i w:val="0"/>
        </w:rPr>
        <w:t>작성일: 2026. 9. 29.</w:t>
      </w:r>
    </w:p>
    <w:p>
      <w:pPr>
        <w:jc w:val="center"/>
      </w:pPr>
      <w:r>
        <w:rPr>
          <w:b w:val="0"/>
          <w:i w:val="0"/>
        </w:rPr>
        <w:t>이전 버전: v1.6 (2026. 5. 1.) — 본 문서로 대체</w:t>
      </w:r>
    </w:p>
    <w:p/>
    <w:p>
      <w:pPr>
        <w:pStyle w:val="Heading2"/>
      </w:pPr>
      <w:r>
        <w:t>주요 갱신 (v1.6 → v3.0)</w:t>
      </w:r>
    </w:p>
    <w:p>
      <w:pPr>
        <w:pStyle w:val="ListBullet"/>
      </w:pPr>
      <w:r>
        <w:t>판단 기준 전면 재정의: "최종 주문(인용·기각·각하·파기·환송 등)의 방향 일치"라는 절차적 라벨 비교를 폐지하고, K-Law 가상 판결문의 법리와 실제 대법원의 법리를 비교하는 것으로 판단 기준을 바꿨다. 이는 K-Law v17.0.3(절차적 주문 어휘 전면 폐지, 원고·피고 승패 단일 프레임 전환)과 짝을 이루는 개정이다.</w:t>
      </w:r>
    </w:p>
    <w:p>
      <w:pPr>
        <w:pStyle w:val="ListBullet"/>
      </w:pPr>
      <w:r>
        <w:t>옛 "결론 방향 일치도(4점)"를 폐지하고 "법리 일치도(7점)"를 신설했다. 그 안에 ① 법리 해석·적용 정합성 ② 승소 당사자·영역 일치도 ③ 승소 수준 일치도의 3개 하위 항목을 두어, 원고·피고의 승소 여부·영역·수준이 법리 비교의 일부로 채점되도록 했다(제2장 2.1).</w:t>
      </w:r>
    </w:p>
    <w:p>
      <w:pPr>
        <w:pStyle w:val="ListBullet"/>
      </w:pPr>
      <w:r>
        <w:t>제4장 원심 결론 유추 방식을 "상고인용=원심의 정반대 방향" 식 이분법에서, 대법원 주문의 실제 유형(원심 확정 / 파기자판 / 파기환송·이송)별로 승소 당사자·영역·수준을 도출하는 방법으로 재설계했다. 파기환송·이송은 대법원 자신도 최종 승패를 확정하지 않으므로, 방향성 법리 비교만 수행하고 영역·수준 비교는 평가불가(N/A) 처리하도록 명시했다(구버전의 "정반대 방향"이라는 근거 없는 유추를 금지).</w:t>
      </w:r>
    </w:p>
    <w:p>
      <w:pPr>
        <w:pStyle w:val="ListBullet"/>
      </w:pPr>
      <w:r>
        <w:t>결정 회피 방지 장치의 4대 정보 목록을 K-Law v17.0.3 공리 G 원문과 정합화했다 — v1.6의 "(d) 원심의 판단 요지"는 v17.0부터 K-Law에 애초에 제공되지 않는 정보이므로(K-Law는 원심 결론을 모르는 상태로 판단한다) 삭제하고, "(d) 당사자 간 다툼이 있는 사실관계 또는 쟁점의 구체적 내용"으로 교체했다.</w:t>
      </w:r>
    </w:p>
    <w:p>
      <w:pPr>
        <w:pStyle w:val="ListBullet"/>
      </w:pPr>
      <w:r>
        <w:t>점수 체계(10점 만점, 완전일치 9.0~10.0 / 완전불일치 0.0~2.9의 5단계 등급)는 v1.6과 동일하게 유지한다 — 바뀐 것은 무엇을 비교하느냐이지, 몇 점을 주느냐의 틀이 아니다.</w:t>
      </w:r>
    </w:p>
    <w:p>
      <w:pPr>
        <w:pStyle w:val="ListBullet"/>
      </w:pPr>
      <w:r>
        <w:t>세부 논증 일치도(3점), 판례 미인용 면책, 다층 검증 모듈(B-5-A/B/C) 반영, 정보 부족 가산점 체계는 v1.6의 설계를 그대로 승계한다(구조상 절차적 주문과 무관한 항목들이므로 개정 불요).</w:t>
      </w:r>
    </w:p>
    <w:p>
      <w:r>
        <w:br w:type="page"/>
      </w:r>
    </w:p>
    <w:p>
      <w:pPr>
        <w:pStyle w:val="Heading1"/>
      </w:pPr>
      <w:r>
        <w:t>제1장 목적 및 적용 범위</w:t>
      </w:r>
    </w:p>
    <w:p>
      <w:r>
        <w:rPr>
          <w:b w:val="0"/>
          <w:i w:val="0"/>
        </w:rPr>
        <w:t>본 기준은 K-Law 방법론에 의해 생성된 가상 판결문의 법리와, 실제 상위 법원(대법원 등)이 해당 사건에서 설시한 법리를 비교하여 일치도를 체계적으로 평가하기 위해 설계되었다. 이 법리 비교에는 원고·피고 중 누가 승소하였는지(승소 여부), 어느 청구·쟁점에서 승소하였는지(승소 영역), 그 승소가 전부인지 일부인지 및 그 정도(승소 수준)가 포함된다. 평가 결과는 K-Law 방법론의 품질 측정 및 갱신 필요성 판단에 사용된다.</w:t>
      </w:r>
    </w:p>
    <w:p>
      <w:r>
        <w:rPr>
          <w:b w:val="0"/>
          <w:i w:val="0"/>
        </w:rPr>
        <w:t>본 기준이 v1.6과 다른 근본 지점: v1.6은 "최종 주문(인용, 기각, 각하, 파기, 환송 등)의 방향 일치"를 독립된 배점 항목(4점)으로 두었다. 그러나 이 절차적 라벨은 심급·사건유형에 따라 문언이 달라지고, K-Law가 원심의 실제 결과를 모르는 구조적 한계 속에서 임의로 골라 쓸 수 있는 여지가 있어(K-Law v17.0.2·v17.0.3 패치노트 참조) 채점 대상으로 부적합함이 확인되었다. 측정해야 할 것은 K-Law가 사안에 적용한 법리가 대법원의 법리와 같은가이며, 그 법리 적용의 실질적 귀결(누가, 어디서, 얼마나 이겼는가)이 일치하는가이지, 판결문의 절차적 주문 문구 자체가 아니다.</w:t>
      </w:r>
    </w:p>
    <w:p>
      <w:r>
        <w:rPr>
          <w:b w:val="0"/>
          <w:i w:val="0"/>
        </w:rPr>
        <w:t>적용 대상: K-Law 가상 판결문과 대응하는 실제 판결문(또는 판례 요약문) 쌍.</w:t>
      </w:r>
    </w:p>
    <w:p>
      <w:r>
        <w:rPr>
          <w:b w:val="0"/>
          <w:i w:val="0"/>
        </w:rPr>
        <w:t>적용 방법론: K-Law v17.0.3 이상. 이전 버전(v17.0.2 이하, 절차적 주문 어휘를 사용하던 시기)에서 생성된 판결문은 제4장의 절차적 라벨 대응표를 거쳐 승소 당사자·영역·수준으로 환산한 후 본 기준으로 재평가한다.</w:t>
      </w:r>
    </w:p>
    <w:p>
      <w:pPr>
        <w:pStyle w:val="Heading1"/>
      </w:pPr>
      <w:r>
        <w:t>제2장 평가 항목 및 배점 (10점 만점)</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항목</w:t>
            </w:r>
          </w:p>
        </w:tc>
        <w:tc>
          <w:tcPr>
            <w:tcW w:type="dxa" w:w="2880"/>
          </w:tcPr>
          <w:p>
            <w:r>
              <w:rPr>
                <w:b/>
              </w:rPr>
              <w:t>배점</w:t>
            </w:r>
          </w:p>
        </w:tc>
        <w:tc>
          <w:tcPr>
            <w:tcW w:type="dxa" w:w="2880"/>
          </w:tcPr>
          <w:p>
            <w:r>
              <w:rPr>
                <w:b/>
              </w:rPr>
              <w:t>설명</w:t>
            </w:r>
          </w:p>
        </w:tc>
      </w:tr>
      <w:tr>
        <w:tc>
          <w:tcPr>
            <w:tcW w:type="dxa" w:w="2880"/>
          </w:tcPr>
          <w:p>
            <w:r>
              <w:t>법리 일치도</w:t>
            </w:r>
          </w:p>
        </w:tc>
        <w:tc>
          <w:tcPr>
            <w:tcW w:type="dxa" w:w="2880"/>
          </w:tcPr>
          <w:p>
            <w:r>
              <w:t>7점</w:t>
            </w:r>
          </w:p>
        </w:tc>
        <w:tc>
          <w:tcPr>
            <w:tcW w:type="dxa" w:w="2880"/>
          </w:tcPr>
          <w:p>
            <w:r>
              <w:t>K-Law가 사안에 적용한 법리(법령 해석·요건 판단·판례 법리)와 그 적용의 귀결인 원고·피고의 승소 여부·영역·수준이, 대법원의 실제 법리 및 그 귀결과 일치하는 정도</w:t>
            </w:r>
          </w:p>
        </w:tc>
      </w:tr>
      <w:tr>
        <w:tc>
          <w:tcPr>
            <w:tcW w:type="dxa" w:w="2880"/>
          </w:tcPr>
          <w:p>
            <w:r>
              <w:t>세부 논증 일치도</w:t>
            </w:r>
          </w:p>
        </w:tc>
        <w:tc>
          <w:tcPr>
            <w:tcW w:type="dxa" w:w="2880"/>
          </w:tcPr>
          <w:p>
            <w:r>
              <w:t>3점</w:t>
            </w:r>
          </w:p>
        </w:tc>
        <w:tc>
          <w:tcPr>
            <w:tcW w:type="dxa" w:w="2880"/>
          </w:tcPr>
          <w:p>
            <w:r>
              <w:t>구체적 사실 평가, 논증 구조, 보조 법리, A-0-S 의미 해석 등의 일치</w:t>
            </w:r>
          </w:p>
        </w:tc>
      </w:tr>
      <w:tr>
        <w:tc>
          <w:tcPr>
            <w:tcW w:type="dxa" w:w="2880"/>
          </w:tcPr>
          <w:p>
            <w:r>
              <w:t>종합 점수</w:t>
            </w:r>
          </w:p>
        </w:tc>
        <w:tc>
          <w:tcPr>
            <w:tcW w:type="dxa" w:w="2880"/>
          </w:tcPr>
          <w:p>
            <w:r>
              <w:t>10점</w:t>
            </w:r>
          </w:p>
        </w:tc>
        <w:tc>
          <w:tcPr>
            <w:tcW w:type="dxa" w:w="2880"/>
          </w:tcPr>
          <w:p>
            <w:r>
              <w:t>위 항목 단순 합계 (7+3)</w:t>
            </w:r>
          </w:p>
        </w:tc>
      </w:tr>
    </w:tbl>
    <w:p/>
    <w:p>
      <w:pPr>
        <w:pStyle w:val="Heading2"/>
      </w:pPr>
      <w:r>
        <w:t>2.1 법리 일치도 세부 기준 (7점, v3.0 신설)</w:t>
      </w:r>
    </w:p>
    <w:p>
      <w:r>
        <w:rPr>
          <w:b w:val="0"/>
          <w:i w:val="0"/>
        </w:rPr>
        <w:t>법리 일치도는 다음 3개 하위 항목으로 구성된다. 세 항목 모두 "법리 비교"의 하위 요소이며, 절차적 주문 문구의 일치 여부는 어떤 하위 항목에서도 채점 대상이 아니다.</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하위 항목</w:t>
            </w:r>
          </w:p>
        </w:tc>
        <w:tc>
          <w:tcPr>
            <w:tcW w:type="dxa" w:w="2880"/>
          </w:tcPr>
          <w:p>
            <w:r>
              <w:rPr>
                <w:b/>
              </w:rPr>
              <w:t>배점</w:t>
            </w:r>
          </w:p>
        </w:tc>
        <w:tc>
          <w:tcPr>
            <w:tcW w:type="dxa" w:w="2880"/>
          </w:tcPr>
          <w:p>
            <w:r>
              <w:rPr>
                <w:b/>
              </w:rPr>
              <w:t>평가 기준</w:t>
            </w:r>
          </w:p>
        </w:tc>
      </w:tr>
      <w:tr>
        <w:tc>
          <w:tcPr>
            <w:tcW w:type="dxa" w:w="2880"/>
          </w:tcPr>
          <w:p>
            <w:r>
              <w:t>① 법리 해석·적용 정합성</w:t>
            </w:r>
          </w:p>
        </w:tc>
        <w:tc>
          <w:tcPr>
            <w:tcW w:type="dxa" w:w="2880"/>
          </w:tcPr>
          <w:p>
            <w:r>
              <w:t>3점</w:t>
            </w:r>
          </w:p>
        </w:tc>
        <w:tc>
          <w:tcPr>
            <w:tcW w:type="dxa" w:w="2880"/>
          </w:tcPr>
          <w:p>
            <w:r>
              <w:t>핵심 쟁점에 적용된 법령 조문·요건, 판례 법리(대법원이 실제로 설시한 법리 — 해석 방향, 심사 기준, 요건 판단 구조 포함)가 K-Law의 적용과 일치하는가. 동일 조문·요건을 썼는가, 동일한 해석 방향(엄격해석/확장해석 등)을 취했는가, 요건 충족 여부(재량권 일탈·남용 인정 등)에 대한 판단이 일치하는가로 채점한다.</w:t>
            </w:r>
          </w:p>
        </w:tc>
      </w:tr>
      <w:tr>
        <w:tc>
          <w:tcPr>
            <w:tcW w:type="dxa" w:w="2880"/>
          </w:tcPr>
          <w:p>
            <w:r>
              <w:t>② 승소 당사자·영역 일치도</w:t>
            </w:r>
          </w:p>
        </w:tc>
        <w:tc>
          <w:tcPr>
            <w:tcW w:type="dxa" w:w="2880"/>
          </w:tcPr>
          <w:p>
            <w:r>
              <w:t>2점</w:t>
            </w:r>
          </w:p>
        </w:tc>
        <w:tc>
          <w:tcPr>
            <w:tcW w:type="dxa" w:w="2880"/>
          </w:tcPr>
          <w:p>
            <w:r>
              <w:t>원고·피고 중 누가 승소하였는지, 그리고 그 승소가 어느 청구·쟁점 항목에서 인정되었는지가 대법원의 실제 판단과 일치하는가. 청구가 여럿이거나 쟁점별로 승패가 갈리는 사건(혼합승패)은 청구·쟁점 단위로 비교하여 부분점수를 부여한다.</w:t>
            </w:r>
          </w:p>
        </w:tc>
      </w:tr>
      <w:tr>
        <w:tc>
          <w:tcPr>
            <w:tcW w:type="dxa" w:w="2880"/>
          </w:tcPr>
          <w:p>
            <w:r>
              <w:t>③ 승소 수준 일치도</w:t>
            </w:r>
          </w:p>
        </w:tc>
        <w:tc>
          <w:tcPr>
            <w:tcW w:type="dxa" w:w="2880"/>
          </w:tcPr>
          <w:p>
            <w:r>
              <w:t>2점</w:t>
            </w:r>
          </w:p>
        </w:tc>
        <w:tc>
          <w:tcPr>
            <w:tcW w:type="dxa" w:w="2880"/>
          </w:tcPr>
          <w:p>
            <w:r>
              <w:t>②에서 일치가 확인된 영역에 한하여, 그 승소의 정도(전부/일부, 인용 금액·비율, 인용된 청구 범위)가 대법원의 실제 결과와 얼마나 근접한가. 금액은 편차율로, 비율·범위는 근접도로 판단한다. 방향(②)은 맞으나 수준의 편차가 현저한 경우(예: 인용액이 실제의 절반 미만 또는 2배 초과) 이 항목에서 큰 폭으로 감점한다.</w:t>
            </w:r>
          </w:p>
        </w:tc>
      </w:tr>
    </w:tbl>
    <w:p/>
    <w:p>
      <w:r>
        <w:rPr>
          <w:b w:val="0"/>
          <w:i w:val="0"/>
        </w:rPr>
        <w:t>※ ②·③은 대법원 "결과"(주문에 적힌 숫자)만을 그대로 베꼈는지를 보는 항목이 아니다. K-Law는 실제 판결의 결론을 모르는 상태로 판단하므로, ②·③의 일치는 K-Law가 채택한 법리를 그 사안에 논리적으로 적용한 결과가 우연이 아니라 실제로 대법원과 같은 법리적 근거에서 나왔는지로 판단하며, 채점자는 K-Law의 【이유】가 제시한 산정 근거(사실관계 종합)를 반드시 함께 읽는다.</w:t>
      </w:r>
    </w:p>
    <w:p>
      <w:pPr>
        <w:pStyle w:val="Heading2"/>
      </w:pPr>
      <w:r>
        <w:t>2.2 세부 논증 일치도 세부 기준 (3점, v1.6 승계)</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하위 항목</w:t>
            </w:r>
          </w:p>
        </w:tc>
        <w:tc>
          <w:tcPr>
            <w:tcW w:type="dxa" w:w="2880"/>
          </w:tcPr>
          <w:p>
            <w:r>
              <w:rPr>
                <w:b/>
              </w:rPr>
              <w:t>배점</w:t>
            </w:r>
          </w:p>
        </w:tc>
        <w:tc>
          <w:tcPr>
            <w:tcW w:type="dxa" w:w="2880"/>
          </w:tcPr>
          <w:p>
            <w:r>
              <w:rPr>
                <w:b/>
              </w:rPr>
              <w:t>평가 기준</w:t>
            </w:r>
          </w:p>
        </w:tc>
      </w:tr>
      <w:tr>
        <w:tc>
          <w:tcPr>
            <w:tcW w:type="dxa" w:w="2880"/>
          </w:tcPr>
          <w:p>
            <w:r>
              <w:t>사실 평가·논증 구조</w:t>
            </w:r>
          </w:p>
        </w:tc>
        <w:tc>
          <w:tcPr>
            <w:tcW w:type="dxa" w:w="2880"/>
          </w:tcPr>
          <w:p>
            <w:r>
              <w:t>1.5점</w:t>
            </w:r>
          </w:p>
        </w:tc>
        <w:tc>
          <w:tcPr>
            <w:tcW w:type="dxa" w:w="2880"/>
          </w:tcPr>
          <w:p>
            <w:r>
              <w:t>구체적 사실 인정, 인과관계 분석, 논증 흐름의 일치</w:t>
            </w:r>
          </w:p>
        </w:tc>
      </w:tr>
      <w:tr>
        <w:tc>
          <w:tcPr>
            <w:tcW w:type="dxa" w:w="2880"/>
          </w:tcPr>
          <w:p>
            <w:r>
              <w:t>보조 법리·판례 적용</w:t>
            </w:r>
          </w:p>
        </w:tc>
        <w:tc>
          <w:tcPr>
            <w:tcW w:type="dxa" w:w="2880"/>
          </w:tcPr>
          <w:p>
            <w:r>
              <w:t>1.0점</w:t>
            </w:r>
          </w:p>
        </w:tc>
        <w:tc>
          <w:tcPr>
            <w:tcW w:type="dxa" w:w="2880"/>
          </w:tcPr>
          <w:p>
            <w:r>
              <w:t>주요 쟁점 외 보조 법리, 입증책임 분배의 일치</w:t>
            </w:r>
          </w:p>
        </w:tc>
      </w:tr>
      <w:tr>
        <w:tc>
          <w:tcPr>
            <w:tcW w:type="dxa" w:w="2880"/>
          </w:tcPr>
          <w:p>
            <w:r>
              <w:t>A-0-S 의미 해석 정합성</w:t>
            </w:r>
          </w:p>
        </w:tc>
        <w:tc>
          <w:tcPr>
            <w:tcW w:type="dxa" w:w="2880"/>
          </w:tcPr>
          <w:p>
            <w:r>
              <w:t>0.5점</w:t>
            </w:r>
          </w:p>
        </w:tc>
        <w:tc>
          <w:tcPr>
            <w:tcW w:type="dxa" w:w="2880"/>
          </w:tcPr>
          <w:p>
            <w:r>
              <w:t>STEP A-0-S의 핵심 단어·문구 의미 해석이 실제 판결의 법령 해석과 일치하는지 여부. A-0-S 출력이 존재하는 경우에만 평가하며, 누락된 경우 강제규칙 10 위반으로 별도 기록하고 이 항목은 N/A 처리한다.</w:t>
            </w:r>
          </w:p>
        </w:tc>
      </w:tr>
    </w:tbl>
    <w:p/>
    <w:p>
      <w:pPr>
        <w:pStyle w:val="Heading2"/>
      </w:pPr>
      <w:r>
        <w:t>2.3 등급 구분</w:t>
      </w:r>
    </w:p>
    <w:tbl>
      <w:tblPr>
        <w:tblStyle w:val="LightGrid-Accent1"/>
        <w:tblW w:type="auto" w:w="0"/>
        <w:tblLook w:firstColumn="1" w:firstRow="1" w:lastColumn="0" w:lastRow="0" w:noHBand="0" w:noVBand="1" w:val="04A0"/>
      </w:tblPr>
      <w:tblGrid>
        <w:gridCol w:w="4320"/>
        <w:gridCol w:w="4320"/>
      </w:tblGrid>
      <w:tr>
        <w:tc>
          <w:tcPr>
            <w:tcW w:type="dxa" w:w="4320"/>
          </w:tcPr>
          <w:p>
            <w:r>
              <w:rPr>
                <w:b/>
              </w:rPr>
              <w:t>등급</w:t>
            </w:r>
          </w:p>
        </w:tc>
        <w:tc>
          <w:tcPr>
            <w:tcW w:type="dxa" w:w="4320"/>
          </w:tcPr>
          <w:p>
            <w:r>
              <w:rPr>
                <w:b/>
              </w:rPr>
              <w:t>점수 범위</w:t>
            </w:r>
          </w:p>
        </w:tc>
      </w:tr>
      <w:tr>
        <w:tc>
          <w:tcPr>
            <w:tcW w:type="dxa" w:w="4320"/>
          </w:tcPr>
          <w:p>
            <w:r>
              <w:t>완전 일치</w:t>
            </w:r>
          </w:p>
        </w:tc>
        <w:tc>
          <w:tcPr>
            <w:tcW w:type="dxa" w:w="4320"/>
          </w:tcPr>
          <w:p>
            <w:r>
              <w:t>9.0 ~ 10.0</w:t>
            </w:r>
          </w:p>
        </w:tc>
      </w:tr>
      <w:tr>
        <w:tc>
          <w:tcPr>
            <w:tcW w:type="dxa" w:w="4320"/>
          </w:tcPr>
          <w:p>
            <w:r>
              <w:t>대체로 일치</w:t>
            </w:r>
          </w:p>
        </w:tc>
        <w:tc>
          <w:tcPr>
            <w:tcW w:type="dxa" w:w="4320"/>
          </w:tcPr>
          <w:p>
            <w:r>
              <w:t>7.0 ~ 8.9</w:t>
            </w:r>
          </w:p>
        </w:tc>
      </w:tr>
      <w:tr>
        <w:tc>
          <w:tcPr>
            <w:tcW w:type="dxa" w:w="4320"/>
          </w:tcPr>
          <w:p>
            <w:r>
              <w:t>부분 일치</w:t>
            </w:r>
          </w:p>
        </w:tc>
        <w:tc>
          <w:tcPr>
            <w:tcW w:type="dxa" w:w="4320"/>
          </w:tcPr>
          <w:p>
            <w:r>
              <w:t>5.0 ~ 6.9</w:t>
            </w:r>
          </w:p>
        </w:tc>
      </w:tr>
      <w:tr>
        <w:tc>
          <w:tcPr>
            <w:tcW w:type="dxa" w:w="4320"/>
          </w:tcPr>
          <w:p>
            <w:r>
              <w:t>불일치</w:t>
            </w:r>
          </w:p>
        </w:tc>
        <w:tc>
          <w:tcPr>
            <w:tcW w:type="dxa" w:w="4320"/>
          </w:tcPr>
          <w:p>
            <w:r>
              <w:t>3.0 ~ 4.9</w:t>
            </w:r>
          </w:p>
        </w:tc>
      </w:tr>
      <w:tr>
        <w:tc>
          <w:tcPr>
            <w:tcW w:type="dxa" w:w="4320"/>
          </w:tcPr>
          <w:p>
            <w:r>
              <w:t>완전 불일치</w:t>
            </w:r>
          </w:p>
        </w:tc>
        <w:tc>
          <w:tcPr>
            <w:tcW w:type="dxa" w:w="4320"/>
          </w:tcPr>
          <w:p>
            <w:r>
              <w:t>0.0 ~ 2.9</w:t>
            </w:r>
          </w:p>
        </w:tc>
      </w:tr>
    </w:tbl>
    <w:p/>
    <w:p>
      <w:pPr>
        <w:pStyle w:val="Heading2"/>
      </w:pPr>
      <w:r>
        <w:t>2.4 다층 검증 모듈(B-5-A/B/C) 평가 반영 기준 (v1.6 승계, 대상 항목만 갱신)</w:t>
      </w:r>
    </w:p>
    <w:p>
      <w:r>
        <w:rPr>
          <w:b w:val="0"/>
          <w:i w:val="0"/>
        </w:rPr>
        <w:t>STEP B-5-A(역방향 판결 초안), B-5-B(국제 비교 법원칙 검증), B-5-C(통합 비교 분석)의 결과는 다음과 같이 평가에 반영한다. v1.6에서 "결론 방향 점수"를 대상으로 하던 가감은 v3.0에서 "법리 일치도" 전체를 대상으로 한다.</w:t>
      </w:r>
    </w:p>
    <w:tbl>
      <w:tblPr>
        <w:tblStyle w:val="LightGrid-Accent1"/>
        <w:tblW w:type="auto" w:w="0"/>
        <w:tblLook w:firstColumn="1" w:firstRow="1" w:lastColumn="0" w:lastRow="0" w:noHBand="0" w:noVBand="1" w:val="04A0"/>
      </w:tblPr>
      <w:tblGrid>
        <w:gridCol w:w="4320"/>
        <w:gridCol w:w="4320"/>
      </w:tblGrid>
      <w:tr>
        <w:tc>
          <w:tcPr>
            <w:tcW w:type="dxa" w:w="4320"/>
          </w:tcPr>
          <w:p>
            <w:r>
              <w:rPr>
                <w:b/>
              </w:rPr>
              <w:t>상황</w:t>
            </w:r>
          </w:p>
        </w:tc>
        <w:tc>
          <w:tcPr>
            <w:tcW w:type="dxa" w:w="4320"/>
          </w:tcPr>
          <w:p>
            <w:r>
              <w:rPr>
                <w:b/>
              </w:rPr>
              <w:t>평가 반영</w:t>
            </w:r>
          </w:p>
        </w:tc>
      </w:tr>
      <w:tr>
        <w:tc>
          <w:tcPr>
            <w:tcW w:type="dxa" w:w="4320"/>
          </w:tcPr>
          <w:p>
            <w:r>
              <w:t>B-5-A/B 발동 조건 미해당 → [미해당] 1줄 출력</w:t>
            </w:r>
          </w:p>
        </w:tc>
        <w:tc>
          <w:tcPr>
            <w:tcW w:type="dxa" w:w="4320"/>
          </w:tcPr>
          <w:p>
            <w:r>
              <w:t>정상 평가. 감점 없음.</w:t>
            </w:r>
          </w:p>
        </w:tc>
      </w:tr>
      <w:tr>
        <w:tc>
          <w:tcPr>
            <w:tcW w:type="dxa" w:w="4320"/>
          </w:tcPr>
          <w:p>
            <w:r>
              <w:t>B-5-A/B 발동 조건 해당 → 출력 누락</w:t>
            </w:r>
          </w:p>
        </w:tc>
        <w:tc>
          <w:tcPr>
            <w:tcW w:type="dxa" w:w="4320"/>
          </w:tcPr>
          <w:p>
            <w:r>
              <w:t>강제규칙 15 또는 16 위반. 세부 논증 -0.5점.</w:t>
            </w:r>
          </w:p>
        </w:tc>
      </w:tr>
      <w:tr>
        <w:tc>
          <w:tcPr>
            <w:tcW w:type="dxa" w:w="4320"/>
          </w:tcPr>
          <w:p>
            <w:r>
              <w:t>B-5-C (1): 역방향+국제 법원칙 모두 K-Law와 상이 → 최종 결론 미수정</w:t>
            </w:r>
          </w:p>
        </w:tc>
        <w:tc>
          <w:tcPr>
            <w:tcW w:type="dxa" w:w="4320"/>
          </w:tcPr>
          <w:p>
            <w:r>
              <w:t>법리 일치도에서 추가 -0.5점 고려(평가자 재량).</w:t>
            </w:r>
          </w:p>
        </w:tc>
      </w:tr>
      <w:tr>
        <w:tc>
          <w:tcPr>
            <w:tcW w:type="dxa" w:w="4320"/>
          </w:tcPr>
          <w:p>
            <w:r>
              <w:t>B-5-C (3): 모두 동일 → +1점 가산 트리거 발동</w:t>
            </w:r>
          </w:p>
        </w:tc>
        <w:tc>
          <w:tcPr>
            <w:tcW w:type="dxa" w:w="4320"/>
          </w:tcPr>
          <w:p>
            <w:r>
              <w:t>세부 논증 +0.5점 가산 가능 (10점 초과 불가).</w:t>
            </w:r>
          </w:p>
        </w:tc>
      </w:tr>
      <w:tr>
        <w:tc>
          <w:tcPr>
            <w:tcW w:type="dxa" w:w="4320"/>
          </w:tcPr>
          <w:p>
            <w:r>
              <w:t>B-5-B 국제 법원칙 참조 시 판례 번호 인용</w:t>
            </w:r>
          </w:p>
        </w:tc>
        <w:tc>
          <w:tcPr>
            <w:tcW w:type="dxa" w:w="4320"/>
          </w:tcPr>
          <w:p>
            <w:r>
              <w:t>공리 J 허위 판례 차단 위반. 법리 일치도(①) -0.5점.</w:t>
            </w:r>
          </w:p>
        </w:tc>
      </w:tr>
    </w:tbl>
    <w:p/>
    <w:p>
      <w:pPr>
        <w:pStyle w:val="Heading1"/>
      </w:pPr>
      <w:r>
        <w:t>제3장 정보 부족 처리 및 면책 조항</w:t>
      </w:r>
    </w:p>
    <w:p>
      <w:pPr>
        <w:pStyle w:val="Heading2"/>
      </w:pPr>
      <w:r>
        <w:t>3.1 판단 유보 면책</w:t>
      </w:r>
    </w:p>
    <w:p>
      <w:r>
        <w:rPr>
          <w:b w:val="0"/>
          <w:i w:val="0"/>
        </w:rPr>
        <w:t>K-Law 가상 판결문이 다음 조건 중 하나에 해당하여 특정 쟁점에 대해 확정적 결론(원고/피고 승패)을 내리지 않은 경우, 평가 시 해당 쟁점에 대한 감점을 적용하지 않는다. 단, K-Law가 면책 조건을 충족했음을 명시적으로 기록하여야 한다.</w:t>
      </w:r>
    </w:p>
    <w:p>
      <w:pPr>
        <w:pStyle w:val="Heading3"/>
      </w:pPr>
      <w:r>
        <w:t>(1) 판단 유보 면책</w:t>
      </w:r>
    </w:p>
    <w:p>
      <w:r>
        <w:rPr>
          <w:b w:val="0"/>
          <w:i w:val="0"/>
        </w:rPr>
        <w:t>공리 G 분기표에 따라 사실 확신도 &lt; 4 또는 법리 확신도 &lt; 4인 경우, STEP B-7에서 [판단 유보: 필요 정보 목록]을 출력하고 명확한 필요 정보를 제시한 경우. 해당 쟁점에 대한 법리 일치도 평가 항목은 면책하여 점수에 반영하지 않음. 나머지 쟁점은 정상 평가.</w:t>
      </w:r>
    </w:p>
    <w:p>
      <w:pPr>
        <w:pStyle w:val="Heading3"/>
      </w:pPr>
      <w:r>
        <w:t>(2) 조건부 결론 면책</w:t>
      </w:r>
    </w:p>
    <w:p>
      <w:r>
        <w:rPr>
          <w:b w:val="0"/>
          <w:i w:val="0"/>
        </w:rPr>
        <w:t>공리 G 분기표에 따라 사실 확신도 4~6인 경우, STEP B-7에서 [조건부 결론](복수 시나리오, 각 시나리오도 원고/피고 승패로 표시)을 출력한 경우. 법리 일치도의 ②·③(승소 당사자·영역·수준) 점수는 면책하고, ①(법리 해석·적용 정합성)과 세부 논증만 평가(최대 6점 만점으로 환산: ① 3점 + 세부논증 3점).</w:t>
      </w:r>
    </w:p>
    <w:p>
      <w:pPr>
        <w:pStyle w:val="Heading3"/>
      </w:pPr>
      <w:r>
        <w:t>(3) 결정 회피 방지 장치와의 관계</w:t>
      </w:r>
    </w:p>
    <w:p>
      <w:r>
        <w:rPr>
          <w:b w:val="0"/>
          <w:i w:val="0"/>
        </w:rPr>
        <w:t>공리 G의 "결정 회피 방지 장치"에 따라 다음 4가지 정보가 모두 제공된 경우에는 판단 유보 면책이 적용되지 않는다 (v3.0 — 목록을 K-Law v17.0.3 공리 G 원문과 정합화):</w:t>
      </w:r>
    </w:p>
    <w:p>
      <w:pPr>
        <w:pStyle w:val="ListBullet"/>
      </w:pPr>
      <w:r>
        <w:t>(a) 청구 취지 및 청구 원인</w:t>
      </w:r>
    </w:p>
    <w:p>
      <w:pPr>
        <w:pStyle w:val="ListBullet"/>
      </w:pPr>
      <w:r>
        <w:t>(b) 당사자 특정 정보</w:t>
      </w:r>
    </w:p>
    <w:p>
      <w:pPr>
        <w:pStyle w:val="ListBullet"/>
      </w:pPr>
      <w:r>
        <w:t>(c) 사건 발생 일시 및 경위</w:t>
      </w:r>
    </w:p>
    <w:p>
      <w:pPr>
        <w:pStyle w:val="ListBullet"/>
      </w:pPr>
      <w:r>
        <w:t>(d) 당사자 간 다툼이 있는 사실관계 또는 쟁점의 구체적 내용</w:t>
      </w:r>
    </w:p>
    <w:p>
      <w:r>
        <w:rPr>
          <w:b w:val="0"/>
          <w:i w:val="0"/>
        </w:rPr>
        <w:t>※ v1.6의 "(d) 원심의 판단 요지"는 삭제한다 — K-Law v17.0부터 원심 판단 요지는 애초에 K-Law에 제공되지 않는 정보이므로(K-Law는 원심 결론을 모르는 상태로 판단을 진행한다), 이를 4대 정보에 포함시키면 사실상 항상 미제공으로 판정되어 면책 요건 판단이 무의미해진다.</w:t>
      </w:r>
    </w:p>
    <w:p>
      <w:r>
        <w:rPr>
          <w:b w:val="0"/>
          <w:i w:val="0"/>
        </w:rPr>
        <w:t>4대 정보가 모두 제공되었음에도 K-Law가 판단을 유보한 경우, 이는 강제규칙 3 위반이므로 면책하지 않고 정상 감점한다.</w:t>
      </w:r>
    </w:p>
    <w:p>
      <w:pPr>
        <w:pStyle w:val="Heading3"/>
      </w:pPr>
      <w:r>
        <w:t>(4) 완전한 정보 부족으로 전체 평가 불가</w:t>
      </w:r>
    </w:p>
    <w:p>
      <w:r>
        <w:rPr>
          <w:b w:val="0"/>
          <w:i w:val="0"/>
        </w:rPr>
        <w:t>사건 요약 자체가 핵심 사실(청구 취지, 당사자, 발생 일시 등)을 전혀 제공하지 않아 K-Law가 어떠한 결론도 내릴 수 없는 경우. 평가자는 "평가 불가"로 표시하고 점수를 부여하지 않으며, 방법론 갱신 통계에서 제외한다.</w:t>
      </w:r>
    </w:p>
    <w:p>
      <w:pPr>
        <w:pStyle w:val="Heading2"/>
      </w:pPr>
      <w:r>
        <w:t>3.2 판례 미인용 면책</w:t>
      </w:r>
    </w:p>
    <w:p>
      <w:r>
        <w:rPr>
          <w:b w:val="0"/>
          <w:i w:val="0"/>
        </w:rPr>
        <w:t>K-Law 가상 판결문이 실제 판례를 전혀 인용하지 않았더라도 감점 없음. 단, 다음 조건을 만족하여야 한다.</w:t>
      </w:r>
    </w:p>
    <w:p>
      <w:pPr>
        <w:pStyle w:val="ListBullet"/>
      </w:pPr>
      <w:r>
        <w:t>허위 판례 생성 금지: 존재하지 않는 판례번호를 임의로 생성하는 행위는 감점 대상.</w:t>
      </w:r>
    </w:p>
    <w:p>
      <w:pPr>
        <w:pStyle w:val="ListBullet"/>
      </w:pPr>
      <w:r>
        <w:t>판례 부재 시 표준 문구 의무(공리 J 준수 시 면책): "※ 직접 적용 가능한 판례 없음" 문구 출력 시 면책.</w:t>
      </w:r>
    </w:p>
    <w:p>
      <w:pPr>
        <w:pStyle w:val="ListBullet"/>
      </w:pPr>
      <w:r>
        <w:t>판례 인용의 정확성 평가: 판례를 인용한 경우에만 정확성(판례 번호, 법리 일치 여부)을 평가한다.</w:t>
      </w:r>
    </w:p>
    <w:p>
      <w:pPr>
        <w:pStyle w:val="Heading2"/>
      </w:pPr>
      <w:r>
        <w:t>3.3 정보 부족 가산점 체크리스트</w:t>
      </w:r>
    </w:p>
    <w:p>
      <w:r>
        <w:rPr>
          <w:b w:val="0"/>
          <w:i w:val="0"/>
        </w:rPr>
        <w:t>정보 부족으로 평가가 어려운 경우 아래 체크리스트에 따라 최대 +1.5점 가산한다. 이 가산점은 면책 조건과 별도로 적용된다. 가산 적용 시 최종 점수 = (법리 일치도 + 세부 논증) + 가산점, 단 10점을 초과할 수 없다.</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항목</w:t>
            </w:r>
          </w:p>
        </w:tc>
        <w:tc>
          <w:tcPr>
            <w:tcW w:type="dxa" w:w="2880"/>
          </w:tcPr>
          <w:p>
            <w:r>
              <w:rPr>
                <w:b/>
              </w:rPr>
              <w:t>가산점</w:t>
            </w:r>
          </w:p>
        </w:tc>
        <w:tc>
          <w:tcPr>
            <w:tcW w:type="dxa" w:w="2880"/>
          </w:tcPr>
          <w:p>
            <w:r>
              <w:rPr>
                <w:b/>
              </w:rPr>
              <w:t>조건</w:t>
            </w:r>
          </w:p>
        </w:tc>
      </w:tr>
      <w:tr>
        <w:tc>
          <w:tcPr>
            <w:tcW w:type="dxa" w:w="2880"/>
          </w:tcPr>
          <w:p>
            <w:r>
              <w:t>① 미포착 쟁점이 승소 당사자·영역·수준 판단에 직접 영향을 미쳤는가?</w:t>
            </w:r>
          </w:p>
        </w:tc>
        <w:tc>
          <w:tcPr>
            <w:tcW w:type="dxa" w:w="2880"/>
          </w:tcPr>
          <w:p>
            <w:r>
              <w:t>-</w:t>
            </w:r>
          </w:p>
        </w:tc>
        <w:tc>
          <w:tcPr>
            <w:tcW w:type="dxa" w:w="2880"/>
          </w:tcPr>
          <w:p>
            <w:r>
              <w:t>영향 시 가산 불가</w:t>
            </w:r>
          </w:p>
        </w:tc>
      </w:tr>
      <w:tr>
        <w:tc>
          <w:tcPr>
            <w:tcW w:type="dxa" w:w="2880"/>
          </w:tcPr>
          <w:p>
            <w:r>
              <w:t>② K-Law가 정보 부족을 인지하고 추가 정보를 요청하였는가?</w:t>
            </w:r>
          </w:p>
        </w:tc>
        <w:tc>
          <w:tcPr>
            <w:tcW w:type="dxa" w:w="2880"/>
          </w:tcPr>
          <w:p>
            <w:r>
              <w:t>+0.5점</w:t>
            </w:r>
          </w:p>
        </w:tc>
        <w:tc>
          <w:tcPr>
            <w:tcW w:type="dxa" w:w="2880"/>
          </w:tcPr>
          <w:p>
            <w:r/>
          </w:p>
        </w:tc>
      </w:tr>
      <w:tr>
        <w:tc>
          <w:tcPr>
            <w:tcW w:type="dxa" w:w="2880"/>
          </w:tcPr>
          <w:p>
            <w:r>
              <w:t>③ 제공된 사실관계에 해당 정보가 애초에 없었는가?</w:t>
            </w:r>
          </w:p>
        </w:tc>
        <w:tc>
          <w:tcPr>
            <w:tcW w:type="dxa" w:w="2880"/>
          </w:tcPr>
          <w:p>
            <w:r>
              <w:t>+0.5점</w:t>
            </w:r>
          </w:p>
        </w:tc>
        <w:tc>
          <w:tcPr>
            <w:tcW w:type="dxa" w:w="2880"/>
          </w:tcPr>
          <w:p>
            <w:r/>
          </w:p>
        </w:tc>
      </w:tr>
      <w:tr>
        <w:tc>
          <w:tcPr>
            <w:tcW w:type="dxa" w:w="2880"/>
          </w:tcPr>
          <w:p>
            <w:r>
              <w:t>④ 정보 부족의 정도가 중대한 수준인가?</w:t>
            </w:r>
          </w:p>
        </w:tc>
        <w:tc>
          <w:tcPr>
            <w:tcW w:type="dxa" w:w="2880"/>
          </w:tcPr>
          <w:p>
            <w:r>
              <w:t>+1.0점</w:t>
            </w:r>
          </w:p>
        </w:tc>
        <w:tc>
          <w:tcPr>
            <w:tcW w:type="dxa" w:w="2880"/>
          </w:tcPr>
          <w:p>
            <w:r>
              <w:t>예: 원심·대법원 판결문 미제공</w:t>
            </w:r>
          </w:p>
        </w:tc>
      </w:tr>
      <w:tr>
        <w:tc>
          <w:tcPr>
            <w:tcW w:type="dxa" w:w="2880"/>
          </w:tcPr>
          <w:p>
            <w:r>
              <w:t>⑤ 미포착 쟁점이 구조적 부재에 기인하는가?</w:t>
            </w:r>
          </w:p>
        </w:tc>
        <w:tc>
          <w:tcPr>
            <w:tcW w:type="dxa" w:w="2880"/>
          </w:tcPr>
          <w:p>
            <w:r>
              <w:t>+0.5점</w:t>
            </w:r>
          </w:p>
        </w:tc>
        <w:tc>
          <w:tcPr>
            <w:tcW w:type="dxa" w:w="2880"/>
          </w:tcPr>
          <w:p>
            <w:r>
              <w:t>예: 판결문 자체 미제공</w:t>
            </w:r>
          </w:p>
        </w:tc>
      </w:tr>
    </w:tbl>
    <w:p/>
    <w:p>
      <w:pPr>
        <w:pStyle w:val="Heading1"/>
      </w:pPr>
      <w:r>
        <w:t>제4장 원심(1심·2심) 승소 당사자·영역·수준 도출 및 평가 (v3.0 전면 재설계)</w:t>
      </w:r>
    </w:p>
    <w:p>
      <w:r>
        <w:rPr>
          <w:b w:val="0"/>
          <w:i w:val="0"/>
        </w:rPr>
        <w:t>실제 심급별 판결문이 제공되지 않은 경우라도, 대법원 판결문(주문 및 이유)으로부터 원심(1심·2심)의 승소 당사자·영역·수준을 도출하여 평가한다. 단, v1.6의 "상고인용=원심의 정반대 방향"이라는 단순 이분법 유추는 폐지한다 — 파기의 방향과 범위는 사건마다 다르며, 근거 없는 유추는 K-Law가 저질렀던 것과 같은 오류(원심 결과를 모른 채 임의로 방향을 단정하는 오류)를 채점자가 반복하는 것이기 때문이다.</w:t>
      </w:r>
    </w:p>
    <w:tbl>
      <w:tblPr>
        <w:tblStyle w:val="LightGrid-Accent1"/>
        <w:tblW w:type="auto" w:w="0"/>
        <w:tblLook w:firstColumn="1" w:firstRow="1" w:lastColumn="0" w:lastRow="0" w:noHBand="0" w:noVBand="1" w:val="04A0"/>
      </w:tblPr>
      <w:tblGrid>
        <w:gridCol w:w="4320"/>
        <w:gridCol w:w="4320"/>
      </w:tblGrid>
      <w:tr>
        <w:tc>
          <w:tcPr>
            <w:tcW w:type="dxa" w:w="4320"/>
          </w:tcPr>
          <w:p>
            <w:r>
              <w:rPr>
                <w:b/>
              </w:rPr>
              <w:t>대법원 실제 주문 형태</w:t>
            </w:r>
          </w:p>
        </w:tc>
        <w:tc>
          <w:tcPr>
            <w:tcW w:type="dxa" w:w="4320"/>
          </w:tcPr>
          <w:p>
            <w:r>
              <w:rPr>
                <w:b/>
              </w:rPr>
              <w:t>원심 승소 당사자·영역·수준 도출 방법</w:t>
            </w:r>
          </w:p>
        </w:tc>
      </w:tr>
      <w:tr>
        <w:tc>
          <w:tcPr>
            <w:tcW w:type="dxa" w:w="4320"/>
          </w:tcPr>
          <w:p>
            <w:r>
              <w:t>상고기각 · 상고각하 (원심 확정)</w:t>
            </w:r>
          </w:p>
        </w:tc>
        <w:tc>
          <w:tcPr>
            <w:tcW w:type="dxa" w:w="4320"/>
          </w:tcPr>
          <w:p>
            <w:r>
              <w:t>원심(2심)이 정한 청구 인용 범위(승소 당사자·영역·수준)를 그대로 사용한다. 대법원 결론 = 원심 결론.</w:t>
            </w:r>
          </w:p>
        </w:tc>
      </w:tr>
      <w:tr>
        <w:tc>
          <w:tcPr>
            <w:tcW w:type="dxa" w:w="4320"/>
          </w:tcPr>
          <w:p>
            <w:r>
              <w:t>파기자판 (대법원이 스스로 새 주문을 정함)</w:t>
            </w:r>
          </w:p>
        </w:tc>
        <w:tc>
          <w:tcPr>
            <w:tcW w:type="dxa" w:w="4320"/>
          </w:tcPr>
          <w:p>
            <w:r>
              <w:t>대법원 주문에 명시된 승소 당사자·영역·수준을 최종 기준으로 사용한다(원심과 다를 수 있음). 원심의 승소 당사자·영역·수준은 대법원 판결문의 "원심 판단 경과" 서술에서 확인되는 범위 내에서만 별도로 기록한다.</w:t>
            </w:r>
          </w:p>
        </w:tc>
      </w:tr>
      <w:tr>
        <w:tc>
          <w:tcPr>
            <w:tcW w:type="dxa" w:w="4320"/>
          </w:tcPr>
          <w:p>
            <w:r>
              <w:t>파기환송 · 파기이송 (사건을 환송·이송)</w:t>
            </w:r>
          </w:p>
        </w:tc>
        <w:tc>
          <w:tcPr>
            <w:tcW w:type="dxa" w:w="4320"/>
          </w:tcPr>
          <w:p>
            <w:r>
              <w:t>대법원 자신도 최종 승소 당사자·영역·수준을 확정하지 않았으므로, 이를 임의로 유추하지 않는다. 대법원이 파기 이유로 설시한 법리(어느 쟁점의 법리를 어떻게 정정해야 한다는 판단)만을 "법리 일치도 ①" 채점에 사용하고, ②·③(승소 당사자·영역·수준) 비교는 [평가불가 / N/A]로 표시한다. 환송심 판결문이 별도로 확보된 경우에 한해 그 결과로 ②·③을 채점한다.</w:t>
            </w:r>
          </w:p>
        </w:tc>
      </w:tr>
    </w:tbl>
    <w:p/>
    <w:p>
      <w:r>
        <w:rPr>
          <w:b w:val="0"/>
          <w:i w:val="0"/>
        </w:rPr>
        <w:t>※ 원심 정보 자체가 부족하여 위 방법으로도 승소 당사자·영역·수준을 특정할 수 없는 경우, 해당 심급 평가는 3.1의 사실 데이터 부족 면책 조항에 따라 면책한다.</w:t>
      </w:r>
    </w:p>
    <w:p>
      <w:pPr>
        <w:pStyle w:val="Heading1"/>
      </w:pPr>
      <w:r>
        <w:t>제5장 평가 출력 형식</w:t>
      </w:r>
    </w:p>
    <w:p>
      <w:r>
        <w:rPr>
          <w:b w:val="0"/>
          <w:i w:val="0"/>
        </w:rPr>
        <w:t>평가자는 아래 형식을 반드시 따라야 한다. 모든 점수는 숫자 또는 "N/A", 면책 사항은 "[면책]"으로 표시한다.</w:t>
      </w:r>
    </w:p>
    <w:tbl>
      <w:tblPr>
        <w:tblStyle w:val="LightGrid-Accent1"/>
        <w:tblW w:type="auto" w:w="0"/>
        <w:tblLook w:firstColumn="1" w:firstRow="1" w:lastColumn="0" w:lastRow="0" w:noHBand="0" w:noVBand="1" w:val="04A0"/>
      </w:tblPr>
      <w:tblGrid>
        <w:gridCol w:w="4320"/>
        <w:gridCol w:w="4320"/>
      </w:tblGrid>
      <w:tr>
        <w:tc>
          <w:tcPr>
            <w:tcW w:type="dxa" w:w="4320"/>
          </w:tcPr>
          <w:p>
            <w:r>
              <w:rPr>
                <w:b/>
              </w:rPr>
              <w:t>항목</w:t>
            </w:r>
          </w:p>
        </w:tc>
        <w:tc>
          <w:tcPr>
            <w:tcW w:type="dxa" w:w="4320"/>
          </w:tcPr>
          <w:p>
            <w:r>
              <w:rPr>
                <w:b/>
              </w:rPr>
              <w:t>형식</w:t>
            </w:r>
          </w:p>
        </w:tc>
      </w:tr>
      <w:tr>
        <w:tc>
          <w:tcPr>
            <w:tcW w:type="dxa" w:w="4320"/>
          </w:tcPr>
          <w:p>
            <w:r>
              <w:t>다툼의 요지</w:t>
            </w:r>
          </w:p>
        </w:tc>
        <w:tc>
          <w:tcPr>
            <w:tcW w:type="dxa" w:w="4320"/>
          </w:tcPr>
          <w:p>
            <w:r>
              <w:t>(2~3문장)</w:t>
            </w:r>
          </w:p>
        </w:tc>
      </w:tr>
      <w:tr>
        <w:tc>
          <w:tcPr>
            <w:tcW w:type="dxa" w:w="4320"/>
          </w:tcPr>
          <w:p>
            <w:r>
              <w:t>K-Law 가상 판결 vs 대법원</w:t>
            </w:r>
          </w:p>
        </w:tc>
        <w:tc>
          <w:tcPr>
            <w:tcW w:type="dxa" w:w="4320"/>
          </w:tcPr>
          <w:p>
            <w:r/>
          </w:p>
        </w:tc>
      </w:tr>
      <w:tr>
        <w:tc>
          <w:tcPr>
            <w:tcW w:type="dxa" w:w="4320"/>
          </w:tcPr>
          <w:p>
            <w:r>
              <w:t>법리 일치도</w:t>
            </w:r>
          </w:p>
        </w:tc>
        <w:tc>
          <w:tcPr>
            <w:tcW w:type="dxa" w:w="4320"/>
          </w:tcPr>
          <w:p>
            <w:r>
              <w:t>[0-7]점 또는 [면책] / 7점</w:t>
            </w:r>
          </w:p>
        </w:tc>
      </w:tr>
      <w:tr>
        <w:tc>
          <w:tcPr>
            <w:tcW w:type="dxa" w:w="4320"/>
          </w:tcPr>
          <w:p>
            <w:r>
              <w:t xml:space="preserve">  ① 법리 해석·적용 정합성</w:t>
            </w:r>
          </w:p>
        </w:tc>
        <w:tc>
          <w:tcPr>
            <w:tcW w:type="dxa" w:w="4320"/>
          </w:tcPr>
          <w:p>
            <w:r>
              <w:t>[0-3]점</w:t>
            </w:r>
          </w:p>
        </w:tc>
      </w:tr>
      <w:tr>
        <w:tc>
          <w:tcPr>
            <w:tcW w:type="dxa" w:w="4320"/>
          </w:tcPr>
          <w:p>
            <w:r>
              <w:t xml:space="preserve">  ② 승소 당사자·영역 일치도</w:t>
            </w:r>
          </w:p>
        </w:tc>
        <w:tc>
          <w:tcPr>
            <w:tcW w:type="dxa" w:w="4320"/>
          </w:tcPr>
          <w:p>
            <w:r>
              <w:t>[0-2]점 또는 N/A(환송·이송 사건)</w:t>
            </w:r>
          </w:p>
        </w:tc>
      </w:tr>
      <w:tr>
        <w:tc>
          <w:tcPr>
            <w:tcW w:type="dxa" w:w="4320"/>
          </w:tcPr>
          <w:p>
            <w:r>
              <w:t xml:space="preserve">  ③ 승소 수준 일치도</w:t>
            </w:r>
          </w:p>
        </w:tc>
        <w:tc>
          <w:tcPr>
            <w:tcW w:type="dxa" w:w="4320"/>
          </w:tcPr>
          <w:p>
            <w:r>
              <w:t>[0-2]점 또는 N/A(환송·이송 사건, 또는 ②가 0인 경우)</w:t>
            </w:r>
          </w:p>
        </w:tc>
      </w:tr>
      <w:tr>
        <w:tc>
          <w:tcPr>
            <w:tcW w:type="dxa" w:w="4320"/>
          </w:tcPr>
          <w:p>
            <w:r>
              <w:t>세부 논증 일치도</w:t>
            </w:r>
          </w:p>
        </w:tc>
        <w:tc>
          <w:tcPr>
            <w:tcW w:type="dxa" w:w="4320"/>
          </w:tcPr>
          <w:p>
            <w:r>
              <w:t>[0-3]점 / 3점 (A-0-S 정합성 포함)</w:t>
            </w:r>
          </w:p>
        </w:tc>
      </w:tr>
      <w:tr>
        <w:tc>
          <w:tcPr>
            <w:tcW w:type="dxa" w:w="4320"/>
          </w:tcPr>
          <w:p>
            <w:r>
              <w:t>A-0-S 의미 해석 정합성</w:t>
            </w:r>
          </w:p>
        </w:tc>
        <w:tc>
          <w:tcPr>
            <w:tcW w:type="dxa" w:w="4320"/>
          </w:tcPr>
          <w:p>
            <w:r>
              <w:t>[0-0.5]점 또는 N/A (세부 논증 내 포함)</w:t>
            </w:r>
          </w:p>
        </w:tc>
      </w:tr>
      <w:tr>
        <w:tc>
          <w:tcPr>
            <w:tcW w:type="dxa" w:w="4320"/>
          </w:tcPr>
          <w:p>
            <w:r>
              <w:t>종합 점수</w:t>
            </w:r>
          </w:p>
        </w:tc>
        <w:tc>
          <w:tcPr>
            <w:tcW w:type="dxa" w:w="4320"/>
          </w:tcPr>
          <w:p>
            <w:r>
              <w:t>[0-10]점 또는 [면책] / 10점 (등급: ...)</w:t>
            </w:r>
          </w:p>
        </w:tc>
      </w:tr>
      <w:tr>
        <w:tc>
          <w:tcPr>
            <w:tcW w:type="dxa" w:w="4320"/>
          </w:tcPr>
          <w:p>
            <w:r>
              <w:t>면책 사유 (있는 경우)</w:t>
            </w:r>
          </w:p>
        </w:tc>
        <w:tc>
          <w:tcPr>
            <w:tcW w:type="dxa" w:w="4320"/>
          </w:tcPr>
          <w:p>
            <w:r>
              <w:t>예: 사실 확신도 4 미만으로 판단 유보 / 판례 미인용 / 4대 정보 미제공</w:t>
            </w:r>
          </w:p>
        </w:tc>
      </w:tr>
      <w:tr>
        <w:tc>
          <w:tcPr>
            <w:tcW w:type="dxa" w:w="4320"/>
          </w:tcPr>
          <w:p>
            <w:r>
              <w:t>B-5-A/B/C 결과 반영</w:t>
            </w:r>
          </w:p>
        </w:tc>
        <w:tc>
          <w:tcPr>
            <w:tcW w:type="dxa" w:w="4320"/>
          </w:tcPr>
          <w:p>
            <w:r>
              <w:t>발동: [해당/미해당] → 감점/가산: [±X점 / 없음]</w:t>
            </w:r>
          </w:p>
        </w:tc>
      </w:tr>
      <w:tr>
        <w:tc>
          <w:tcPr>
            <w:tcW w:type="dxa" w:w="4320"/>
          </w:tcPr>
          <w:p>
            <w:r>
              <w:t>1심(도출) vs 대법원</w:t>
            </w:r>
          </w:p>
        </w:tc>
        <w:tc>
          <w:tcPr>
            <w:tcW w:type="dxa" w:w="4320"/>
          </w:tcPr>
          <w:p>
            <w:r>
              <w:t>동일 형식(승소 당사자·영역·수준 비교). 정보 부족 시 N/A.</w:t>
            </w:r>
          </w:p>
        </w:tc>
      </w:tr>
      <w:tr>
        <w:tc>
          <w:tcPr>
            <w:tcW w:type="dxa" w:w="4320"/>
          </w:tcPr>
          <w:p>
            <w:r>
              <w:t>2심(도출) vs 대법원</w:t>
            </w:r>
          </w:p>
        </w:tc>
        <w:tc>
          <w:tcPr>
            <w:tcW w:type="dxa" w:w="4320"/>
          </w:tcPr>
          <w:p>
            <w:r>
              <w:t>동일 형식.</w:t>
            </w:r>
          </w:p>
        </w:tc>
      </w:tr>
      <w:tr>
        <w:tc>
          <w:tcPr>
            <w:tcW w:type="dxa" w:w="4320"/>
          </w:tcPr>
          <w:p>
            <w:r>
              <w:t>종합 비교</w:t>
            </w:r>
          </w:p>
        </w:tc>
        <w:tc>
          <w:tcPr>
            <w:tcW w:type="dxa" w:w="4320"/>
          </w:tcPr>
          <w:p>
            <w:r>
              <w:t>K-Law vs 대법원: X.X점 / 1심: X.X점 / 2심: X.X점 / 더 일치: [K-Law / 1심 / 2심 / 면책]</w:t>
            </w:r>
          </w:p>
        </w:tc>
      </w:tr>
      <w:tr>
        <w:tc>
          <w:tcPr>
            <w:tcW w:type="dxa" w:w="4320"/>
          </w:tcPr>
          <w:p>
            <w:r>
              <w:t>정보 부족 가산점</w:t>
            </w:r>
          </w:p>
        </w:tc>
        <w:tc>
          <w:tcPr>
            <w:tcW w:type="dxa" w:w="4320"/>
          </w:tcPr>
          <w:p>
            <w:r>
              <w:t>적용 여부: [예/아니오] / 체크리스트 ①②③④⑤ / 가산점: +?점 / 최종: X.X점</w:t>
            </w:r>
          </w:p>
        </w:tc>
      </w:tr>
      <w:tr>
        <w:tc>
          <w:tcPr>
            <w:tcW w:type="dxa" w:w="4320"/>
          </w:tcPr>
          <w:p>
            <w:r>
              <w:t>구조 이해도 반영 (C-α 기준)</w:t>
            </w:r>
          </w:p>
        </w:tc>
        <w:tc>
          <w:tcPr>
            <w:tcW w:type="dxa" w:w="4320"/>
          </w:tcPr>
          <w:p>
            <w:r>
              <w:t>C-α 항목 (1)~(10) 완료율 [N/10] / 세부 논증 가감: ±?점 (재량)</w:t>
            </w:r>
          </w:p>
        </w:tc>
      </w:tr>
      <w:tr>
        <w:tc>
          <w:tcPr>
            <w:tcW w:type="dxa" w:w="4320"/>
          </w:tcPr>
          <w:p>
            <w:r>
              <w:t>방법론 갱신 필요성 분석</w:t>
            </w:r>
          </w:p>
        </w:tc>
        <w:tc>
          <w:tcPr>
            <w:tcW w:type="dxa" w:w="4320"/>
          </w:tcPr>
          <w:p>
            <w:r>
              <w:t>종합 점수 &lt; 7 시 필수 / 갱신 트리거 / 미흡 지점 / 개선 제안</w:t>
            </w:r>
          </w:p>
        </w:tc>
      </w:tr>
      <w:tr>
        <w:tc>
          <w:tcPr>
            <w:tcW w:type="dxa" w:w="4320"/>
          </w:tcPr>
          <w:p>
            <w:r>
              <w:t>강제규칙 준수 현황</w:t>
            </w:r>
          </w:p>
        </w:tc>
        <w:tc>
          <w:tcPr>
            <w:tcW w:type="dxa" w:w="4320"/>
          </w:tcPr>
          <w:p>
            <w:r>
              <w:t>강제규칙 준수 여부: [없음 / 위반 규칙 번호 명시]</w:t>
            </w:r>
          </w:p>
        </w:tc>
      </w:tr>
      <w:tr>
        <w:tc>
          <w:tcPr>
            <w:tcW w:type="dxa" w:w="4320"/>
          </w:tcPr>
          <w:p>
            <w:r>
              <w:t>절차적 주문 용어 사용 여부</w:t>
            </w:r>
          </w:p>
        </w:tc>
        <w:tc>
          <w:tcPr>
            <w:tcW w:type="dxa" w:w="4320"/>
          </w:tcPr>
          <w:p>
            <w:r>
              <w:t>[미사용 확인 / 사용됨 — 공리 K, 강제규칙 5 위반으로 별도 기록]</w:t>
            </w:r>
          </w:p>
        </w:tc>
      </w:tr>
    </w:tbl>
    <w:p/>
    <w:p>
      <w:pPr>
        <w:pStyle w:val="Heading1"/>
      </w:pPr>
      <w:r>
        <w:t>제6장 특별 규정</w:t>
      </w:r>
    </w:p>
    <w:p>
      <w:pPr>
        <w:pStyle w:val="Heading2"/>
      </w:pPr>
      <w:r>
        <w:t>6.1 면책과 가산점의 관계</w:t>
      </w:r>
    </w:p>
    <w:p>
      <w:r>
        <w:rPr>
          <w:b w:val="0"/>
          <w:i w:val="0"/>
        </w:rPr>
        <w:t>면책은 감점을 방지하는 소극적 보호이며, 가산점은 평가자가 정보 부족을 고려해 점수를 높이는 적극적 조치이다. 둘은 함께 사용할 수 있다.</w:t>
      </w:r>
    </w:p>
    <w:p>
      <w:pPr>
        <w:pStyle w:val="Heading2"/>
      </w:pPr>
      <w:r>
        <w:t>6.2 판례 미인용 완전 면책</w:t>
      </w:r>
    </w:p>
    <w:p>
      <w:r>
        <w:rPr>
          <w:b w:val="0"/>
          <w:i w:val="0"/>
        </w:rPr>
        <w:t>판례 미인용 자체는 어떤 경우에도 감점되지 않는다. 그러나 평가 보고서에는 "판례 인용 여부"를 별도로 기록할 수 있다.</w:t>
      </w:r>
    </w:p>
    <w:p>
      <w:pPr>
        <w:pStyle w:val="Heading2"/>
      </w:pPr>
      <w:r>
        <w:t>6.3 일치도 저하 통계</w:t>
      </w:r>
    </w:p>
    <w:p>
      <w:r>
        <w:rPr>
          <w:b w:val="0"/>
          <w:i w:val="0"/>
        </w:rPr>
        <w:t>면책 처리된 사건은 방법론 갱신 트리거(일치도 평균 7점 미만 등) 계산에서 제외한다. 별도로 "면책 사건 수"와 "정상 평가 사건 수"를 분리 기록한다.</w:t>
      </w:r>
    </w:p>
    <w:p>
      <w:pPr>
        <w:pStyle w:val="Heading2"/>
      </w:pPr>
      <w:r>
        <w:t>6.4 결정 회피 방지 장치 위반 처리</w:t>
      </w:r>
    </w:p>
    <w:p>
      <w:r>
        <w:rPr>
          <w:b w:val="0"/>
          <w:i w:val="0"/>
        </w:rPr>
        <w:t>4대 정보(청구 취지, 당사자, 발생 일시, 다툼있는 사실관계·쟁점)가 모두 제공되었음에도 K-Law가 판단을 유보한 경우, 이는 강제규칙 3 위반 및 공리 G 결정 회피 방지 장치 위반으로 처리한다.</w:t>
      </w:r>
    </w:p>
    <w:p>
      <w:pPr>
        <w:pStyle w:val="ListBullet"/>
      </w:pPr>
      <w:r>
        <w:t>법리 일치도 점수: 면책 불가. 정상 채점.</w:t>
      </w:r>
    </w:p>
    <w:p>
      <w:pPr>
        <w:pStyle w:val="ListBullet"/>
      </w:pPr>
      <w:r>
        <w:t>방법론 갱신 보고서: 해당 사건을 "결정 회피 위반" 항목으로 별도 기록.</w:t>
      </w:r>
    </w:p>
    <w:p>
      <w:pPr>
        <w:pStyle w:val="ListBullet"/>
      </w:pPr>
      <w:r>
        <w:t>공리 O 트리거 (p) 발동 여부 검토.</w:t>
      </w:r>
    </w:p>
    <w:p>
      <w:pPr>
        <w:pStyle w:val="Heading2"/>
      </w:pPr>
      <w:r>
        <w:t>6.5 다층 검증 모듈 미발동 처리</w:t>
      </w:r>
    </w:p>
    <w:p>
      <w:r>
        <w:rPr>
          <w:b w:val="0"/>
          <w:i w:val="0"/>
        </w:rPr>
        <w:t>B-5-A/B/C 발동 조건에 해당함에도 출력이 누락된 경우:</w:t>
      </w:r>
    </w:p>
    <w:p>
      <w:pPr>
        <w:pStyle w:val="ListBullet"/>
      </w:pPr>
      <w:r>
        <w:t>강제규칙 15 또는 16 위반으로 기록.</w:t>
      </w:r>
    </w:p>
    <w:p>
      <w:pPr>
        <w:pStyle w:val="ListBullet"/>
      </w:pPr>
      <w:r>
        <w:t>세부 논증에서 -0.5점 반영.</w:t>
      </w:r>
    </w:p>
    <w:p>
      <w:pPr>
        <w:pStyle w:val="ListBullet"/>
      </w:pPr>
      <w:r>
        <w:t>방법론 갱신 보고서에 누락 건수 기록 (공리 O 트리거 (x)(y) 발동 기준).</w:t>
      </w:r>
    </w:p>
    <w:p>
      <w:pPr>
        <w:pStyle w:val="Heading2"/>
      </w:pPr>
      <w:r>
        <w:t>6.6 절차적 주문 용어 사용 시 처리 (v3.0 신설)</w:t>
      </w:r>
    </w:p>
    <w:p>
      <w:r>
        <w:rPr>
          <w:b w:val="0"/>
          <w:i w:val="0"/>
        </w:rPr>
        <w:t>K-Law 가상 판결문의 최종 결론에 절차적 주문 용어(인용·기각·각하·파기환송·파기자판·상고기각·항소기각·이송·절차적 환송 등)가 사용된 경우, 이는 K-Law v17.0.3 공리 K·강제규칙 5 위반이다. 이 경우:</w:t>
      </w:r>
    </w:p>
    <w:p>
      <w:pPr>
        <w:pStyle w:val="ListBullet"/>
      </w:pPr>
      <w:r>
        <w:t>법리 일치도 ②·③(승소 당사자·영역·수준)은 채점자가 해당 절차적 문구를 승소 당사자·영역·수준으로 직접 환산하여 채점하되(제4장 대응표 준용), 평가 보고서에 "절차적 주문 용어 사용" 위반을 별도로 기록한다.</w:t>
      </w:r>
    </w:p>
    <w:p>
      <w:pPr>
        <w:pStyle w:val="ListBullet"/>
      </w:pPr>
      <w:r>
        <w:t>세부 논증에서 -0.5점 반영.</w:t>
      </w:r>
    </w:p>
    <w:p>
      <w:pPr>
        <w:pStyle w:val="ListBullet"/>
      </w:pPr>
      <w:r>
        <w:t>동일 결함이 2건 이상 반복되면 방법론 갱신 보고서에 "절차적 주문 회귀" 항목으로 기록하고, 공리 K·강제규칙 5 재점검을 트리거한다.</w:t>
      </w:r>
    </w:p>
    <w:p>
      <w:pPr>
        <w:pStyle w:val="Heading1"/>
      </w:pPr>
      <w:r>
        <w:t>제7장 버전 이력</w:t>
      </w:r>
    </w:p>
    <w:p>
      <w:r>
        <w:rPr>
          <w:b w:val="0"/>
          <w:i w:val="0"/>
        </w:rPr>
        <w:t>이 기준은 K-Law 방법론 v17.0.3 이상과 함께 사용되며, 평가의 공정성과 일관성을 보장한다.</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버전</w:t>
            </w:r>
          </w:p>
        </w:tc>
        <w:tc>
          <w:tcPr>
            <w:tcW w:type="dxa" w:w="2880"/>
          </w:tcPr>
          <w:p>
            <w:r>
              <w:rPr>
                <w:b/>
              </w:rPr>
              <w:t>날짜</w:t>
            </w:r>
          </w:p>
        </w:tc>
        <w:tc>
          <w:tcPr>
            <w:tcW w:type="dxa" w:w="2880"/>
          </w:tcPr>
          <w:p>
            <w:r>
              <w:rPr>
                <w:b/>
              </w:rPr>
              <w:t>주요 변경 사항</w:t>
            </w:r>
          </w:p>
        </w:tc>
      </w:tr>
      <w:tr>
        <w:tc>
          <w:tcPr>
            <w:tcW w:type="dxa" w:w="2880"/>
          </w:tcPr>
          <w:p>
            <w:r>
              <w:t>v3.0</w:t>
            </w:r>
          </w:p>
        </w:tc>
        <w:tc>
          <w:tcPr>
            <w:tcW w:type="dxa" w:w="2880"/>
          </w:tcPr>
          <w:p>
            <w:r>
              <w:t>2026. 9. 29.</w:t>
            </w:r>
          </w:p>
        </w:tc>
        <w:tc>
          <w:tcPr>
            <w:tcW w:type="dxa" w:w="2880"/>
          </w:tcPr>
          <w:p>
            <w:r>
              <w:t>K-Law v17.0.3(절차적 주문 어휘 전면 폐지, 원고·피고 승패 단일 프레임 전환)에 대응. 판단 기준을 "절차적 주문 방향 일치"에서 "법리 비교(그 안에 승소 여부·영역·수준 포함)"로 전면 재정의. "결론 방향 일치도(4점)"를 폐지하고 "법리 일치도(7점, 하위 ①법리해석적용 3점 ②승소당사자영역 2점 ③승소수준 2점)"를 신설. 제4장 원심 결론 유추 방식을 절차적 이분법에서 대법원 주문 유형별 승소 당사자·영역·수준 도출 방법으로 재설계(파기환송·이송은 N/A 처리, 임의 유추 금지). 결정 회피 방지 장치 4대 정보 목록을 v17.0.3 공리 G 원문과 정합화((d) 원심 판단 요지 → 다툼있는 사실관계·쟁점). 절차적 주문 용어 사용 시 처리 규정(6.6) 신설. 점수 체계(10점 만점, 5단계 등급)는 v1.6과 동일하게 유지.</w:t>
            </w:r>
          </w:p>
        </w:tc>
      </w:tr>
      <w:tr>
        <w:tc>
          <w:tcPr>
            <w:tcW w:type="dxa" w:w="2880"/>
          </w:tcPr>
          <w:p>
            <w:r>
              <w:t>v1.6</w:t>
            </w:r>
          </w:p>
        </w:tc>
        <w:tc>
          <w:tcPr>
            <w:tcW w:type="dxa" w:w="2880"/>
          </w:tcPr>
          <w:p>
            <w:r>
              <w:t>2026. 5. 1.</w:t>
            </w:r>
          </w:p>
        </w:tc>
        <w:tc>
          <w:tcPr>
            <w:tcW w:type="dxa" w:w="2880"/>
          </w:tcPr>
          <w:p>
            <w:r>
              <w:t>기반 방법론 K-Law v13.2 반영. 공리 번호 오류 수정(공리 11→G, 공리 19→J). 절차 참조 수정(절차 B-7→STEP B-7, STEP C-7→C-α). 용어 통일([잠정 결론]→[조건부 결론]). 결정 회피 방지 장치 면책 제한 신설. A-0-S 의미 해석 정합성 세부 논증 0.5점 반영. 다층 검증 모듈(B-5-A/B/C) 평가 반영 기준 신설. B-5-C (3) +0.5점 가산 도입. 강제규칙 1~16 준수 현황 출력 항목 신설.</w:t>
            </w:r>
          </w:p>
        </w:tc>
      </w:tr>
      <w:tr>
        <w:tc>
          <w:tcPr>
            <w:tcW w:type="dxa" w:w="2880"/>
          </w:tcPr>
          <w:p>
            <w:r>
              <w:t>v1.5</w:t>
            </w:r>
          </w:p>
        </w:tc>
        <w:tc>
          <w:tcPr>
            <w:tcW w:type="dxa" w:w="2880"/>
          </w:tcPr>
          <w:p>
            <w:r>
              <w:t>2026. 4. 27.</w:t>
            </w:r>
          </w:p>
        </w:tc>
        <w:tc>
          <w:tcPr>
            <w:tcW w:type="dxa" w:w="2880"/>
          </w:tcPr>
          <w:p>
            <w:r>
              <w:t>사실 데이터 부족 판단 불가(유보) 시 면책 조항 신설, 판례 미인용 전면 면책, 출력 형식에 면책 표시 추가</w:t>
            </w:r>
          </w:p>
        </w:tc>
      </w:tr>
      <w:tr>
        <w:tc>
          <w:tcPr>
            <w:tcW w:type="dxa" w:w="2880"/>
          </w:tcPr>
          <w:p>
            <w:r>
              <w:t>v1.4</w:t>
            </w:r>
          </w:p>
        </w:tc>
        <w:tc>
          <w:tcPr>
            <w:tcW w:type="dxa" w:w="2880"/>
          </w:tcPr>
          <w:p>
            <w:r>
              <w:t>2026. 4. 26.</w:t>
            </w:r>
          </w:p>
        </w:tc>
        <w:tc>
          <w:tcPr>
            <w:tcW w:type="dxa" w:w="2880"/>
          </w:tcPr>
          <w:p>
            <w:r>
              <w:t>정보 부족 가산점 체크리스트, 1심·2심 유추 강제, 판례 인용 의무화</w:t>
            </w:r>
          </w:p>
        </w:tc>
      </w:tr>
      <w:tr>
        <w:tc>
          <w:tcPr>
            <w:tcW w:type="dxa" w:w="2880"/>
          </w:tcPr>
          <w:p>
            <w:r>
              <w:t>v1.3</w:t>
            </w:r>
          </w:p>
        </w:tc>
        <w:tc>
          <w:tcPr>
            <w:tcW w:type="dxa" w:w="2880"/>
          </w:tcPr>
          <w:p>
            <w:r>
              <w:t>2026. 4. 25.</w:t>
            </w:r>
          </w:p>
        </w:tc>
        <w:tc>
          <w:tcPr>
            <w:tcW w:type="dxa" w:w="2880"/>
          </w:tcPr>
          <w:p>
            <w:r>
              <w:t>확신도 이원화 반영, 종합 점수 산출식 수정</w:t>
            </w:r>
          </w:p>
        </w:tc>
      </w:tr>
      <w:tr>
        <w:tc>
          <w:tcPr>
            <w:tcW w:type="dxa" w:w="2880"/>
          </w:tcPr>
          <w:p>
            <w:r>
              <w:t>v1.0</w:t>
            </w:r>
          </w:p>
        </w:tc>
        <w:tc>
          <w:tcPr>
            <w:tcW w:type="dxa" w:w="2880"/>
          </w:tcPr>
          <w:p>
            <w:r>
              <w:t>2026. 4. 20.</w:t>
            </w:r>
          </w:p>
        </w:tc>
        <w:tc>
          <w:tcPr>
            <w:tcW w:type="dxa" w:w="2880"/>
          </w:tcPr>
          <w:p>
            <w:r>
              <w:t>최초 제정</w:t>
            </w:r>
          </w:p>
        </w:tc>
      </w:tr>
    </w:tbl>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